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21783E"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72"/>
          <w:szCs w:val="72"/>
          <w:lang w:val="en-GB"/>
        </w:rPr>
      </w:pPr>
      <w:r w:rsidRPr="0021783E">
        <w:rPr>
          <w:sz w:val="72"/>
          <w:szCs w:val="72"/>
        </w:rPr>
        <w:t>GES/UNICEF PARTNERSHIP</w:t>
      </w:r>
      <w:r w:rsidRPr="0021783E">
        <w:rPr>
          <w:sz w:val="72"/>
          <w:szCs w:val="72"/>
          <w:lang w:val="en-GB"/>
        </w:rPr>
        <w:t xml:space="preserve"> </w:t>
      </w: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32"/>
          <w:szCs w:val="32"/>
          <w:lang w:val="en-GB"/>
        </w:rPr>
      </w:pPr>
      <w:r w:rsidRPr="00EB32D6">
        <w:rPr>
          <w:sz w:val="32"/>
          <w:szCs w:val="32"/>
          <w:lang w:val="en-GB"/>
        </w:rPr>
        <w:t>Analysis of school attendance trends among basic school students</w:t>
      </w: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32"/>
          <w:szCs w:val="32"/>
          <w:lang w:val="en-GB"/>
        </w:rPr>
      </w:pPr>
      <w:r w:rsidRPr="00EB32D6">
        <w:rPr>
          <w:sz w:val="32"/>
          <w:szCs w:val="32"/>
          <w:lang w:val="en-GB"/>
        </w:rPr>
        <w:t>2005-2010</w:t>
      </w: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72"/>
          <w:szCs w:val="72"/>
          <w:lang w:val="en-GB"/>
        </w:rPr>
      </w:pPr>
      <w:r>
        <w:rPr>
          <w:sz w:val="72"/>
          <w:szCs w:val="72"/>
          <w:lang w:val="en-GB"/>
        </w:rPr>
        <w:t xml:space="preserve">FINAL </w:t>
      </w:r>
      <w:r w:rsidRPr="00EB32D6">
        <w:rPr>
          <w:sz w:val="72"/>
          <w:szCs w:val="72"/>
          <w:lang w:val="en-GB"/>
        </w:rPr>
        <w:t>DRAFT REPORT</w:t>
      </w: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8"/>
          <w:szCs w:val="28"/>
          <w:lang w:val="en-GB"/>
        </w:rPr>
      </w:pP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8"/>
          <w:szCs w:val="28"/>
          <w:lang w:val="en-GB"/>
        </w:rPr>
      </w:pPr>
      <w:r w:rsidRPr="00EB32D6">
        <w:rPr>
          <w:sz w:val="28"/>
          <w:szCs w:val="28"/>
          <w:lang w:val="en-GB"/>
        </w:rPr>
        <w:t xml:space="preserve">Submitted by </w:t>
      </w: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8"/>
          <w:szCs w:val="28"/>
          <w:lang w:val="en-GB"/>
        </w:rPr>
      </w:pPr>
      <w:r w:rsidRPr="00EB32D6">
        <w:rPr>
          <w:sz w:val="28"/>
          <w:szCs w:val="28"/>
          <w:lang w:val="en-GB"/>
        </w:rPr>
        <w:t>EARC</w:t>
      </w: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CC3E89"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4"/>
          <w:szCs w:val="24"/>
          <w:lang w:val="en-GB"/>
        </w:rPr>
      </w:pP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8"/>
          <w:szCs w:val="28"/>
          <w:lang w:val="en-GB"/>
        </w:rPr>
      </w:pPr>
      <w:r>
        <w:rPr>
          <w:sz w:val="28"/>
          <w:szCs w:val="28"/>
          <w:lang w:val="en-GB"/>
        </w:rPr>
        <w:t>JUNE</w:t>
      </w:r>
      <w:r w:rsidRPr="00EB32D6">
        <w:rPr>
          <w:sz w:val="28"/>
          <w:szCs w:val="28"/>
          <w:lang w:val="en-GB"/>
        </w:rPr>
        <w:t xml:space="preserve"> 2011</w:t>
      </w:r>
    </w:p>
    <w:p w:rsidR="00EB1FCF" w:rsidRPr="00EB32D6" w:rsidRDefault="00EB1FCF" w:rsidP="00EB1FCF">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sz w:val="28"/>
          <w:szCs w:val="28"/>
          <w:lang w:val="en-GB"/>
        </w:rPr>
      </w:pPr>
    </w:p>
    <w:p w:rsidR="00EB1FCF" w:rsidRDefault="00EB1FCF" w:rsidP="00EB1FCF">
      <w:pPr>
        <w:spacing w:after="0" w:line="240" w:lineRule="auto"/>
        <w:jc w:val="center"/>
        <w:rPr>
          <w:sz w:val="24"/>
          <w:szCs w:val="24"/>
          <w:lang w:val="en-GB"/>
        </w:rPr>
      </w:pPr>
      <w:r w:rsidRPr="00CC3E89">
        <w:rPr>
          <w:sz w:val="24"/>
          <w:szCs w:val="24"/>
          <w:lang w:val="en-GB"/>
        </w:rPr>
        <w:br w:type="page"/>
      </w:r>
      <w:r>
        <w:rPr>
          <w:sz w:val="24"/>
          <w:szCs w:val="24"/>
          <w:lang w:val="en-GB"/>
        </w:rPr>
        <w:lastRenderedPageBreak/>
        <w:t>EXECUTIVE SUMMARY</w:t>
      </w:r>
    </w:p>
    <w:p w:rsidR="00EB1FCF" w:rsidRPr="00CC3E89" w:rsidRDefault="00EB1FCF" w:rsidP="00EB1FCF">
      <w:pPr>
        <w:spacing w:after="0" w:line="240" w:lineRule="auto"/>
        <w:rPr>
          <w:sz w:val="24"/>
          <w:szCs w:val="24"/>
          <w:lang w:val="en-GB"/>
        </w:rPr>
      </w:pPr>
      <w:r w:rsidRPr="00CC3E89">
        <w:rPr>
          <w:sz w:val="24"/>
          <w:szCs w:val="24"/>
          <w:lang w:val="en-GB"/>
        </w:rPr>
        <w:t>The</w:t>
      </w:r>
      <w:r>
        <w:rPr>
          <w:sz w:val="24"/>
          <w:szCs w:val="24"/>
          <w:lang w:val="en-GB"/>
        </w:rPr>
        <w:t xml:space="preserve"> major objective of this study was</w:t>
      </w:r>
      <w:r w:rsidRPr="00CC3E89">
        <w:rPr>
          <w:sz w:val="24"/>
          <w:szCs w:val="24"/>
          <w:lang w:val="en-GB"/>
        </w:rPr>
        <w:t xml:space="preserve"> to collect and </w:t>
      </w:r>
      <w:proofErr w:type="spellStart"/>
      <w:r w:rsidRPr="00CC3E89">
        <w:rPr>
          <w:sz w:val="24"/>
          <w:szCs w:val="24"/>
          <w:lang w:val="en-GB"/>
        </w:rPr>
        <w:t>analyze</w:t>
      </w:r>
      <w:proofErr w:type="spellEnd"/>
      <w:r w:rsidRPr="00CC3E89">
        <w:rPr>
          <w:sz w:val="24"/>
          <w:szCs w:val="24"/>
          <w:lang w:val="en-GB"/>
        </w:rPr>
        <w:t xml:space="preserve"> data on school attendance at basic education level</w:t>
      </w:r>
      <w:r>
        <w:rPr>
          <w:sz w:val="24"/>
          <w:szCs w:val="24"/>
          <w:lang w:val="en-GB"/>
        </w:rPr>
        <w:t xml:space="preserve"> and determines areas </w:t>
      </w:r>
      <w:r w:rsidRPr="00CC3E89">
        <w:rPr>
          <w:sz w:val="24"/>
          <w:szCs w:val="24"/>
          <w:lang w:val="en-GB"/>
        </w:rPr>
        <w:t>where</w:t>
      </w:r>
      <w:r>
        <w:rPr>
          <w:sz w:val="24"/>
          <w:szCs w:val="24"/>
          <w:lang w:val="en-GB"/>
        </w:rPr>
        <w:t xml:space="preserve"> there are</w:t>
      </w:r>
      <w:r w:rsidRPr="00CC3E89">
        <w:rPr>
          <w:sz w:val="24"/>
          <w:szCs w:val="24"/>
          <w:lang w:val="en-GB"/>
        </w:rPr>
        <w:t xml:space="preserve"> decline</w:t>
      </w:r>
      <w:r>
        <w:rPr>
          <w:sz w:val="24"/>
          <w:szCs w:val="24"/>
          <w:lang w:val="en-GB"/>
        </w:rPr>
        <w:t>s</w:t>
      </w:r>
      <w:r w:rsidRPr="00CC3E89">
        <w:rPr>
          <w:sz w:val="24"/>
          <w:szCs w:val="24"/>
          <w:lang w:val="en-GB"/>
        </w:rPr>
        <w:t xml:space="preserve"> </w:t>
      </w:r>
      <w:r>
        <w:rPr>
          <w:sz w:val="24"/>
          <w:szCs w:val="24"/>
          <w:lang w:val="en-GB"/>
        </w:rPr>
        <w:t xml:space="preserve">and low </w:t>
      </w:r>
      <w:r w:rsidRPr="00CC3E89">
        <w:rPr>
          <w:sz w:val="24"/>
          <w:szCs w:val="24"/>
          <w:lang w:val="en-GB"/>
        </w:rPr>
        <w:t>school attendance over the period 200</w:t>
      </w:r>
      <w:r>
        <w:rPr>
          <w:sz w:val="24"/>
          <w:szCs w:val="24"/>
          <w:lang w:val="en-GB"/>
        </w:rPr>
        <w:t>5</w:t>
      </w:r>
      <w:r w:rsidRPr="00CC3E89">
        <w:rPr>
          <w:sz w:val="24"/>
          <w:szCs w:val="24"/>
          <w:lang w:val="en-GB"/>
        </w:rPr>
        <w:t>-20</w:t>
      </w:r>
      <w:r>
        <w:rPr>
          <w:sz w:val="24"/>
          <w:szCs w:val="24"/>
          <w:lang w:val="en-GB"/>
        </w:rPr>
        <w:t>10</w:t>
      </w:r>
      <w:r w:rsidRPr="00CC3E89">
        <w:rPr>
          <w:sz w:val="24"/>
          <w:szCs w:val="24"/>
          <w:lang w:val="en-GB"/>
        </w:rPr>
        <w:t xml:space="preserve">.  </w:t>
      </w:r>
    </w:p>
    <w:p w:rsidR="00EB1FCF" w:rsidRDefault="00EB1FCF" w:rsidP="00EB1FCF">
      <w:pPr>
        <w:spacing w:after="0" w:line="240" w:lineRule="auto"/>
        <w:rPr>
          <w:sz w:val="24"/>
          <w:szCs w:val="24"/>
        </w:rPr>
      </w:pPr>
    </w:p>
    <w:p w:rsidR="00EB1FCF" w:rsidRDefault="00EB1FCF" w:rsidP="00EB1FCF">
      <w:pPr>
        <w:spacing w:after="0" w:line="240" w:lineRule="auto"/>
        <w:rPr>
          <w:sz w:val="24"/>
          <w:szCs w:val="24"/>
          <w:lang w:val="en-GB"/>
        </w:rPr>
      </w:pPr>
      <w:r>
        <w:rPr>
          <w:sz w:val="24"/>
          <w:szCs w:val="24"/>
        </w:rPr>
        <w:t xml:space="preserve">The study adopted the survey research approach with a sample size of </w:t>
      </w:r>
      <w:r>
        <w:rPr>
          <w:sz w:val="24"/>
          <w:szCs w:val="24"/>
          <w:lang w:val="en-GB"/>
        </w:rPr>
        <w:t>919 Primary Schools and 706 Junior High Schools</w:t>
      </w:r>
      <w:r>
        <w:rPr>
          <w:sz w:val="24"/>
          <w:szCs w:val="24"/>
        </w:rPr>
        <w:t>.  In</w:t>
      </w:r>
      <w:r>
        <w:rPr>
          <w:sz w:val="24"/>
          <w:szCs w:val="24"/>
          <w:lang w:val="en-GB"/>
        </w:rPr>
        <w:t>formation came from 87 districts</w:t>
      </w:r>
      <w:r>
        <w:rPr>
          <w:sz w:val="24"/>
          <w:szCs w:val="24"/>
        </w:rPr>
        <w:t xml:space="preserve"> in nine regions</w:t>
      </w:r>
      <w:r>
        <w:rPr>
          <w:sz w:val="24"/>
          <w:szCs w:val="24"/>
          <w:lang w:val="en-GB"/>
        </w:rPr>
        <w:t>.</w:t>
      </w:r>
    </w:p>
    <w:p w:rsidR="00EB1FCF" w:rsidRDefault="00EB1FCF" w:rsidP="00EB1FCF">
      <w:pPr>
        <w:spacing w:after="0" w:line="240" w:lineRule="auto"/>
        <w:rPr>
          <w:sz w:val="24"/>
          <w:szCs w:val="24"/>
        </w:rPr>
      </w:pPr>
    </w:p>
    <w:p w:rsidR="00EB1FCF" w:rsidRDefault="00EB1FCF" w:rsidP="00EB1FCF">
      <w:pPr>
        <w:spacing w:after="0" w:line="240" w:lineRule="auto"/>
        <w:rPr>
          <w:sz w:val="24"/>
          <w:szCs w:val="24"/>
          <w:lang w:val="en-GB"/>
        </w:rPr>
      </w:pPr>
      <w:r w:rsidRPr="008B34B1">
        <w:rPr>
          <w:sz w:val="24"/>
          <w:szCs w:val="24"/>
          <w:lang w:val="en-GB"/>
        </w:rPr>
        <w:t xml:space="preserve">The results </w:t>
      </w:r>
      <w:r>
        <w:rPr>
          <w:sz w:val="24"/>
          <w:szCs w:val="24"/>
          <w:lang w:val="en-GB"/>
        </w:rPr>
        <w:t>show that primary school attendance experienced a slight growth nationally from 2005 to 2010 while Junior High School attendance experienced a slight decline.  Generally attendance was higher for boys than girls for the period 2005 – 2010.</w:t>
      </w:r>
    </w:p>
    <w:p w:rsidR="00EB1FCF" w:rsidRDefault="00EB1FCF" w:rsidP="00EB1FCF">
      <w:pPr>
        <w:spacing w:after="0" w:line="240" w:lineRule="auto"/>
        <w:rPr>
          <w:sz w:val="24"/>
          <w:szCs w:val="24"/>
          <w:lang w:val="en-GB"/>
        </w:rPr>
      </w:pPr>
    </w:p>
    <w:p w:rsidR="00EB1FCF" w:rsidRDefault="00EB1FCF" w:rsidP="00EB1FCF">
      <w:pPr>
        <w:spacing w:after="0" w:line="240" w:lineRule="auto"/>
        <w:rPr>
          <w:sz w:val="24"/>
          <w:szCs w:val="24"/>
          <w:lang w:val="en-GB"/>
        </w:rPr>
      </w:pPr>
      <w:r>
        <w:rPr>
          <w:sz w:val="24"/>
          <w:szCs w:val="24"/>
          <w:lang w:val="en-GB"/>
        </w:rPr>
        <w:t>Over the five academic year period, Ashanti, Central, Greater Accra, Northern, Upper East, Upper West and Western Regions showed slight growth in actual school attendance in Primary schools.  The Eastern Region showed a slight decline in actual attendance.</w:t>
      </w:r>
    </w:p>
    <w:p w:rsidR="00EB1FCF" w:rsidRDefault="00EB1FCF" w:rsidP="00EB1FCF">
      <w:pPr>
        <w:spacing w:after="0" w:line="240" w:lineRule="auto"/>
        <w:rPr>
          <w:sz w:val="24"/>
          <w:szCs w:val="24"/>
          <w:lang w:val="en-GB"/>
        </w:rPr>
      </w:pPr>
    </w:p>
    <w:p w:rsidR="00EB1FCF" w:rsidRDefault="00EB1FCF" w:rsidP="00EB1FCF">
      <w:pPr>
        <w:spacing w:after="0" w:line="240" w:lineRule="auto"/>
        <w:rPr>
          <w:sz w:val="24"/>
          <w:szCs w:val="24"/>
          <w:lang w:val="en-GB"/>
        </w:rPr>
      </w:pPr>
      <w:r>
        <w:rPr>
          <w:sz w:val="24"/>
          <w:szCs w:val="24"/>
          <w:lang w:val="en-GB"/>
        </w:rPr>
        <w:t xml:space="preserve">In terms of </w:t>
      </w:r>
      <w:r w:rsidRPr="00EE31AB">
        <w:rPr>
          <w:b/>
          <w:sz w:val="24"/>
          <w:szCs w:val="24"/>
          <w:lang w:val="en-GB"/>
        </w:rPr>
        <w:t>percentage</w:t>
      </w:r>
      <w:r>
        <w:rPr>
          <w:sz w:val="24"/>
          <w:szCs w:val="24"/>
          <w:lang w:val="en-GB"/>
        </w:rPr>
        <w:t xml:space="preserve"> school attendance in the Primary School, Greater Accra had the highest attendance with Upper East Region and by Northern Region having the lowest.</w:t>
      </w:r>
    </w:p>
    <w:p w:rsidR="00EB1FCF" w:rsidRDefault="00EB1FCF" w:rsidP="00EB1FCF">
      <w:pPr>
        <w:spacing w:after="0" w:line="240" w:lineRule="auto"/>
        <w:jc w:val="both"/>
        <w:rPr>
          <w:sz w:val="24"/>
          <w:szCs w:val="24"/>
          <w:lang w:val="en-GB"/>
        </w:rPr>
      </w:pPr>
    </w:p>
    <w:p w:rsidR="00EB1FCF" w:rsidRDefault="00EB1FCF" w:rsidP="00EB1FCF">
      <w:pPr>
        <w:spacing w:after="0" w:line="240" w:lineRule="auto"/>
        <w:rPr>
          <w:sz w:val="24"/>
          <w:szCs w:val="24"/>
          <w:lang w:val="en-GB"/>
        </w:rPr>
      </w:pPr>
      <w:r>
        <w:rPr>
          <w:sz w:val="24"/>
          <w:szCs w:val="24"/>
          <w:lang w:val="en-GB"/>
        </w:rPr>
        <w:t xml:space="preserve">The following districts showed moderate to high declining attendance </w:t>
      </w:r>
      <w:proofErr w:type="gramStart"/>
      <w:r>
        <w:rPr>
          <w:sz w:val="24"/>
          <w:szCs w:val="24"/>
          <w:lang w:val="en-GB"/>
        </w:rPr>
        <w:t>between 2005-2010</w:t>
      </w:r>
      <w:proofErr w:type="gramEnd"/>
      <w:r>
        <w:rPr>
          <w:sz w:val="24"/>
          <w:szCs w:val="24"/>
          <w:lang w:val="en-GB"/>
        </w:rPr>
        <w:t>.</w:t>
      </w:r>
    </w:p>
    <w:p w:rsidR="00EB1FCF" w:rsidRDefault="00EB1FCF" w:rsidP="00EB1FCF">
      <w:pPr>
        <w:numPr>
          <w:ilvl w:val="0"/>
          <w:numId w:val="1"/>
        </w:numPr>
        <w:spacing w:after="0" w:line="240" w:lineRule="auto"/>
        <w:rPr>
          <w:sz w:val="24"/>
          <w:szCs w:val="24"/>
          <w:lang w:val="en-GB"/>
        </w:rPr>
      </w:pPr>
      <w:proofErr w:type="spellStart"/>
      <w:r>
        <w:rPr>
          <w:sz w:val="24"/>
          <w:szCs w:val="24"/>
          <w:lang w:val="en-GB"/>
        </w:rPr>
        <w:t>Assin</w:t>
      </w:r>
      <w:proofErr w:type="spellEnd"/>
      <w:r>
        <w:rPr>
          <w:sz w:val="24"/>
          <w:szCs w:val="24"/>
          <w:lang w:val="en-GB"/>
        </w:rPr>
        <w:t xml:space="preserve"> South</w:t>
      </w:r>
      <w:r>
        <w:rPr>
          <w:sz w:val="24"/>
          <w:szCs w:val="24"/>
          <w:lang w:val="en-GB"/>
        </w:rPr>
        <w:tab/>
        <w:t>Central Region</w:t>
      </w:r>
    </w:p>
    <w:p w:rsidR="00EB1FCF" w:rsidRDefault="00EB1FCF" w:rsidP="00EB1FCF">
      <w:pPr>
        <w:numPr>
          <w:ilvl w:val="0"/>
          <w:numId w:val="1"/>
        </w:numPr>
        <w:spacing w:after="0" w:line="240" w:lineRule="auto"/>
        <w:rPr>
          <w:sz w:val="24"/>
          <w:szCs w:val="24"/>
          <w:lang w:val="en-GB"/>
        </w:rPr>
      </w:pPr>
      <w:proofErr w:type="spellStart"/>
      <w:r>
        <w:rPr>
          <w:sz w:val="24"/>
          <w:szCs w:val="24"/>
          <w:lang w:val="en-GB"/>
        </w:rPr>
        <w:t>Birim</w:t>
      </w:r>
      <w:proofErr w:type="spellEnd"/>
      <w:r>
        <w:rPr>
          <w:sz w:val="24"/>
          <w:szCs w:val="24"/>
          <w:lang w:val="en-GB"/>
        </w:rPr>
        <w:t xml:space="preserve"> North</w:t>
      </w:r>
      <w:r>
        <w:rPr>
          <w:sz w:val="24"/>
          <w:szCs w:val="24"/>
          <w:lang w:val="en-GB"/>
        </w:rPr>
        <w:tab/>
        <w:t>Eastern Region</w:t>
      </w:r>
    </w:p>
    <w:p w:rsidR="00EB1FCF" w:rsidRDefault="00EB1FCF" w:rsidP="00EB1FCF">
      <w:pPr>
        <w:numPr>
          <w:ilvl w:val="0"/>
          <w:numId w:val="1"/>
        </w:numPr>
        <w:spacing w:after="0" w:line="240" w:lineRule="auto"/>
        <w:rPr>
          <w:sz w:val="24"/>
          <w:szCs w:val="24"/>
          <w:lang w:val="en-GB"/>
        </w:rPr>
      </w:pPr>
      <w:proofErr w:type="spellStart"/>
      <w:r>
        <w:rPr>
          <w:sz w:val="24"/>
          <w:szCs w:val="24"/>
          <w:lang w:val="en-GB"/>
        </w:rPr>
        <w:t>Fanteakwa</w:t>
      </w:r>
      <w:proofErr w:type="spellEnd"/>
      <w:r>
        <w:rPr>
          <w:sz w:val="24"/>
          <w:szCs w:val="24"/>
          <w:lang w:val="en-GB"/>
        </w:rPr>
        <w:tab/>
        <w:t>Eastern Region</w:t>
      </w:r>
    </w:p>
    <w:p w:rsidR="00EB1FCF" w:rsidRDefault="00EB1FCF" w:rsidP="00EB1FCF">
      <w:pPr>
        <w:numPr>
          <w:ilvl w:val="0"/>
          <w:numId w:val="1"/>
        </w:numPr>
        <w:spacing w:after="0" w:line="240" w:lineRule="auto"/>
        <w:rPr>
          <w:sz w:val="24"/>
          <w:szCs w:val="24"/>
          <w:lang w:val="en-GB"/>
        </w:rPr>
      </w:pPr>
      <w:r>
        <w:rPr>
          <w:sz w:val="24"/>
          <w:szCs w:val="24"/>
          <w:lang w:val="en-GB"/>
        </w:rPr>
        <w:t xml:space="preserve">East </w:t>
      </w:r>
      <w:proofErr w:type="spellStart"/>
      <w:r>
        <w:rPr>
          <w:sz w:val="24"/>
          <w:szCs w:val="24"/>
          <w:lang w:val="en-GB"/>
        </w:rPr>
        <w:t>Gonja</w:t>
      </w:r>
      <w:proofErr w:type="spellEnd"/>
      <w:r>
        <w:rPr>
          <w:sz w:val="24"/>
          <w:szCs w:val="24"/>
          <w:lang w:val="en-GB"/>
        </w:rPr>
        <w:tab/>
        <w:t>Northern Region</w:t>
      </w:r>
    </w:p>
    <w:p w:rsidR="00EB1FCF" w:rsidRDefault="00EB1FCF" w:rsidP="00EB1FCF">
      <w:pPr>
        <w:numPr>
          <w:ilvl w:val="0"/>
          <w:numId w:val="1"/>
        </w:numPr>
        <w:spacing w:after="0" w:line="240" w:lineRule="auto"/>
        <w:rPr>
          <w:sz w:val="24"/>
          <w:szCs w:val="24"/>
          <w:lang w:val="en-GB"/>
        </w:rPr>
      </w:pPr>
      <w:proofErr w:type="spellStart"/>
      <w:r>
        <w:rPr>
          <w:sz w:val="24"/>
          <w:szCs w:val="24"/>
          <w:lang w:val="en-GB"/>
        </w:rPr>
        <w:t>Bawku</w:t>
      </w:r>
      <w:proofErr w:type="spellEnd"/>
      <w:r>
        <w:rPr>
          <w:sz w:val="24"/>
          <w:szCs w:val="24"/>
          <w:lang w:val="en-GB"/>
        </w:rPr>
        <w:t xml:space="preserve"> West</w:t>
      </w:r>
      <w:r>
        <w:rPr>
          <w:sz w:val="24"/>
          <w:szCs w:val="24"/>
          <w:lang w:val="en-GB"/>
        </w:rPr>
        <w:tab/>
        <w:t>Upper East Region</w:t>
      </w:r>
    </w:p>
    <w:p w:rsidR="00EB1FCF" w:rsidRDefault="00EB1FCF" w:rsidP="00EB1FCF">
      <w:pPr>
        <w:numPr>
          <w:ilvl w:val="0"/>
          <w:numId w:val="1"/>
        </w:numPr>
        <w:spacing w:after="0" w:line="240" w:lineRule="auto"/>
        <w:rPr>
          <w:sz w:val="24"/>
          <w:szCs w:val="24"/>
          <w:lang w:val="en-GB"/>
        </w:rPr>
      </w:pPr>
      <w:proofErr w:type="spellStart"/>
      <w:r>
        <w:rPr>
          <w:sz w:val="24"/>
          <w:szCs w:val="24"/>
          <w:lang w:val="en-GB"/>
        </w:rPr>
        <w:t>Sissala</w:t>
      </w:r>
      <w:proofErr w:type="spellEnd"/>
      <w:r>
        <w:rPr>
          <w:sz w:val="24"/>
          <w:szCs w:val="24"/>
          <w:lang w:val="en-GB"/>
        </w:rPr>
        <w:t xml:space="preserve"> West</w:t>
      </w:r>
      <w:r>
        <w:rPr>
          <w:sz w:val="24"/>
          <w:szCs w:val="24"/>
          <w:lang w:val="en-GB"/>
        </w:rPr>
        <w:tab/>
        <w:t>Upper West Region</w:t>
      </w:r>
    </w:p>
    <w:p w:rsidR="00EB1FCF" w:rsidRDefault="00EB1FCF" w:rsidP="00EB1FCF">
      <w:pPr>
        <w:numPr>
          <w:ilvl w:val="0"/>
          <w:numId w:val="1"/>
        </w:numPr>
        <w:spacing w:after="0" w:line="240" w:lineRule="auto"/>
        <w:rPr>
          <w:sz w:val="24"/>
          <w:szCs w:val="24"/>
          <w:lang w:val="en-GB"/>
        </w:rPr>
      </w:pPr>
      <w:proofErr w:type="spellStart"/>
      <w:r>
        <w:rPr>
          <w:sz w:val="24"/>
          <w:szCs w:val="24"/>
          <w:lang w:val="en-GB"/>
        </w:rPr>
        <w:t>Wa</w:t>
      </w:r>
      <w:proofErr w:type="spellEnd"/>
      <w:r>
        <w:rPr>
          <w:sz w:val="24"/>
          <w:szCs w:val="24"/>
          <w:lang w:val="en-GB"/>
        </w:rPr>
        <w:t xml:space="preserve"> East</w:t>
      </w:r>
      <w:r>
        <w:rPr>
          <w:sz w:val="24"/>
          <w:szCs w:val="24"/>
          <w:lang w:val="en-GB"/>
        </w:rPr>
        <w:tab/>
        <w:t>Upper West Region</w:t>
      </w:r>
    </w:p>
    <w:p w:rsidR="00EB1FCF" w:rsidRDefault="00EB1FCF" w:rsidP="00EB1FCF">
      <w:pPr>
        <w:numPr>
          <w:ilvl w:val="0"/>
          <w:numId w:val="1"/>
        </w:numPr>
        <w:spacing w:after="0" w:line="240" w:lineRule="auto"/>
        <w:rPr>
          <w:sz w:val="24"/>
          <w:szCs w:val="24"/>
          <w:lang w:val="en-GB"/>
        </w:rPr>
      </w:pPr>
      <w:proofErr w:type="spellStart"/>
      <w:r>
        <w:rPr>
          <w:sz w:val="24"/>
          <w:szCs w:val="24"/>
          <w:lang w:val="en-GB"/>
        </w:rPr>
        <w:t>Amenfi</w:t>
      </w:r>
      <w:proofErr w:type="spellEnd"/>
      <w:r>
        <w:rPr>
          <w:sz w:val="24"/>
          <w:szCs w:val="24"/>
          <w:lang w:val="en-GB"/>
        </w:rPr>
        <w:t xml:space="preserve"> West</w:t>
      </w:r>
      <w:r>
        <w:rPr>
          <w:sz w:val="24"/>
          <w:szCs w:val="24"/>
          <w:lang w:val="en-GB"/>
        </w:rPr>
        <w:tab/>
        <w:t xml:space="preserve">Western Region </w:t>
      </w:r>
    </w:p>
    <w:p w:rsidR="00EB1FCF" w:rsidRDefault="00EB1FCF" w:rsidP="00EB1FCF">
      <w:pPr>
        <w:spacing w:after="0" w:line="240" w:lineRule="auto"/>
        <w:jc w:val="both"/>
        <w:rPr>
          <w:sz w:val="24"/>
          <w:szCs w:val="24"/>
          <w:lang w:val="en-GB"/>
        </w:rPr>
      </w:pPr>
    </w:p>
    <w:p w:rsidR="00EB1FCF" w:rsidRDefault="00EB1FCF" w:rsidP="00EB1FCF">
      <w:pPr>
        <w:spacing w:after="0" w:line="240" w:lineRule="auto"/>
        <w:jc w:val="both"/>
        <w:rPr>
          <w:sz w:val="24"/>
          <w:szCs w:val="24"/>
          <w:lang w:val="en-GB"/>
        </w:rPr>
      </w:pPr>
      <w:r>
        <w:rPr>
          <w:sz w:val="24"/>
          <w:szCs w:val="24"/>
          <w:lang w:val="en-GB"/>
        </w:rPr>
        <w:t>In addition, the following districts showed moderate to high rising primary school attendance.</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Amansie</w:t>
      </w:r>
      <w:proofErr w:type="spellEnd"/>
      <w:r>
        <w:rPr>
          <w:sz w:val="24"/>
          <w:szCs w:val="24"/>
          <w:lang w:val="en-GB"/>
        </w:rPr>
        <w:t xml:space="preserve"> West</w:t>
      </w:r>
      <w:r>
        <w:rPr>
          <w:sz w:val="24"/>
          <w:szCs w:val="24"/>
          <w:lang w:val="en-GB"/>
        </w:rPr>
        <w:tab/>
      </w:r>
      <w:r>
        <w:rPr>
          <w:sz w:val="24"/>
          <w:szCs w:val="24"/>
          <w:lang w:val="en-GB"/>
        </w:rPr>
        <w:tab/>
        <w:t>Ashanti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Mampong</w:t>
      </w:r>
      <w:proofErr w:type="spellEnd"/>
      <w:r>
        <w:rPr>
          <w:sz w:val="24"/>
          <w:szCs w:val="24"/>
          <w:lang w:val="en-GB"/>
        </w:rPr>
        <w:t xml:space="preserve"> Municipal</w:t>
      </w:r>
      <w:r>
        <w:rPr>
          <w:sz w:val="24"/>
          <w:szCs w:val="24"/>
          <w:lang w:val="en-GB"/>
        </w:rPr>
        <w:tab/>
        <w:t>Ashanti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Sekyere</w:t>
      </w:r>
      <w:proofErr w:type="spellEnd"/>
      <w:r>
        <w:rPr>
          <w:sz w:val="24"/>
          <w:szCs w:val="24"/>
          <w:lang w:val="en-GB"/>
        </w:rPr>
        <w:t xml:space="preserve"> South</w:t>
      </w:r>
      <w:r>
        <w:rPr>
          <w:sz w:val="24"/>
          <w:szCs w:val="24"/>
          <w:lang w:val="en-GB"/>
        </w:rPr>
        <w:tab/>
      </w:r>
      <w:r>
        <w:rPr>
          <w:sz w:val="24"/>
          <w:szCs w:val="24"/>
          <w:lang w:val="en-GB"/>
        </w:rPr>
        <w:tab/>
      </w:r>
      <w:r>
        <w:rPr>
          <w:sz w:val="24"/>
          <w:szCs w:val="24"/>
          <w:lang w:val="en-GB"/>
        </w:rPr>
        <w:tab/>
        <w:t>Ashanti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Mamprusi</w:t>
      </w:r>
      <w:proofErr w:type="spellEnd"/>
      <w:r>
        <w:rPr>
          <w:sz w:val="24"/>
          <w:szCs w:val="24"/>
          <w:lang w:val="en-GB"/>
        </w:rPr>
        <w:t xml:space="preserve"> East</w:t>
      </w:r>
      <w:r>
        <w:rPr>
          <w:sz w:val="24"/>
          <w:szCs w:val="24"/>
          <w:lang w:val="en-GB"/>
        </w:rPr>
        <w:tab/>
      </w:r>
      <w:r>
        <w:rPr>
          <w:sz w:val="24"/>
          <w:szCs w:val="24"/>
          <w:lang w:val="en-GB"/>
        </w:rPr>
        <w:tab/>
        <w:t>Northern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Savelugu-Nanton</w:t>
      </w:r>
      <w:proofErr w:type="spellEnd"/>
      <w:r>
        <w:rPr>
          <w:sz w:val="24"/>
          <w:szCs w:val="24"/>
          <w:lang w:val="en-GB"/>
        </w:rPr>
        <w:tab/>
      </w:r>
      <w:r>
        <w:rPr>
          <w:sz w:val="24"/>
          <w:szCs w:val="24"/>
          <w:lang w:val="en-GB"/>
        </w:rPr>
        <w:tab/>
        <w:t>Northern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Yendi</w:t>
      </w:r>
      <w:proofErr w:type="spellEnd"/>
      <w:r>
        <w:rPr>
          <w:sz w:val="24"/>
          <w:szCs w:val="24"/>
          <w:lang w:val="en-GB"/>
        </w:rPr>
        <w:tab/>
      </w:r>
      <w:r>
        <w:rPr>
          <w:sz w:val="24"/>
          <w:szCs w:val="24"/>
          <w:lang w:val="en-GB"/>
        </w:rPr>
        <w:tab/>
      </w:r>
      <w:r>
        <w:rPr>
          <w:sz w:val="24"/>
          <w:szCs w:val="24"/>
          <w:lang w:val="en-GB"/>
        </w:rPr>
        <w:tab/>
      </w:r>
      <w:r>
        <w:rPr>
          <w:sz w:val="24"/>
          <w:szCs w:val="24"/>
          <w:lang w:val="en-GB"/>
        </w:rPr>
        <w:tab/>
        <w:t>Northern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Kassena</w:t>
      </w:r>
      <w:proofErr w:type="spellEnd"/>
      <w:r>
        <w:rPr>
          <w:sz w:val="24"/>
          <w:szCs w:val="24"/>
          <w:lang w:val="en-GB"/>
        </w:rPr>
        <w:t xml:space="preserve"> </w:t>
      </w:r>
      <w:proofErr w:type="spellStart"/>
      <w:r>
        <w:rPr>
          <w:sz w:val="24"/>
          <w:szCs w:val="24"/>
          <w:lang w:val="en-GB"/>
        </w:rPr>
        <w:t>Nankana</w:t>
      </w:r>
      <w:proofErr w:type="spellEnd"/>
      <w:r>
        <w:rPr>
          <w:sz w:val="24"/>
          <w:szCs w:val="24"/>
          <w:lang w:val="en-GB"/>
        </w:rPr>
        <w:t xml:space="preserve"> East</w:t>
      </w:r>
      <w:r>
        <w:rPr>
          <w:sz w:val="24"/>
          <w:szCs w:val="24"/>
          <w:lang w:val="en-GB"/>
        </w:rPr>
        <w:tab/>
        <w:t>Upper East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Lawra</w:t>
      </w:r>
      <w:proofErr w:type="spellEnd"/>
      <w:r>
        <w:rPr>
          <w:sz w:val="24"/>
          <w:szCs w:val="24"/>
          <w:lang w:val="en-GB"/>
        </w:rPr>
        <w:tab/>
      </w:r>
      <w:r>
        <w:rPr>
          <w:sz w:val="24"/>
          <w:szCs w:val="24"/>
          <w:lang w:val="en-GB"/>
        </w:rPr>
        <w:tab/>
      </w:r>
      <w:r>
        <w:rPr>
          <w:sz w:val="24"/>
          <w:szCs w:val="24"/>
          <w:lang w:val="en-GB"/>
        </w:rPr>
        <w:tab/>
      </w:r>
      <w:r>
        <w:rPr>
          <w:sz w:val="24"/>
          <w:szCs w:val="24"/>
          <w:lang w:val="en-GB"/>
        </w:rPr>
        <w:tab/>
        <w:t>Upper West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Wa</w:t>
      </w:r>
      <w:proofErr w:type="spellEnd"/>
      <w:r>
        <w:rPr>
          <w:sz w:val="24"/>
          <w:szCs w:val="24"/>
          <w:lang w:val="en-GB"/>
        </w:rPr>
        <w:t xml:space="preserve"> West</w:t>
      </w:r>
      <w:r>
        <w:rPr>
          <w:sz w:val="24"/>
          <w:szCs w:val="24"/>
          <w:lang w:val="en-GB"/>
        </w:rPr>
        <w:tab/>
      </w:r>
      <w:r>
        <w:rPr>
          <w:sz w:val="24"/>
          <w:szCs w:val="24"/>
          <w:lang w:val="en-GB"/>
        </w:rPr>
        <w:tab/>
      </w:r>
      <w:r>
        <w:rPr>
          <w:sz w:val="24"/>
          <w:szCs w:val="24"/>
          <w:lang w:val="en-GB"/>
        </w:rPr>
        <w:tab/>
        <w:t>Upper West Region</w:t>
      </w:r>
    </w:p>
    <w:p w:rsidR="00EB1FCF" w:rsidRDefault="00EB1FCF" w:rsidP="00EB1FCF">
      <w:pPr>
        <w:numPr>
          <w:ilvl w:val="0"/>
          <w:numId w:val="2"/>
        </w:numPr>
        <w:spacing w:after="0" w:line="240" w:lineRule="auto"/>
        <w:rPr>
          <w:sz w:val="24"/>
          <w:szCs w:val="24"/>
          <w:lang w:val="en-GB"/>
        </w:rPr>
      </w:pPr>
      <w:proofErr w:type="spellStart"/>
      <w:r>
        <w:rPr>
          <w:sz w:val="24"/>
          <w:szCs w:val="24"/>
          <w:lang w:val="en-GB"/>
        </w:rPr>
        <w:t>Bia</w:t>
      </w:r>
      <w:proofErr w:type="spellEnd"/>
      <w:r>
        <w:rPr>
          <w:sz w:val="24"/>
          <w:szCs w:val="24"/>
          <w:lang w:val="en-GB"/>
        </w:rPr>
        <w:tab/>
      </w:r>
      <w:r>
        <w:rPr>
          <w:sz w:val="24"/>
          <w:szCs w:val="24"/>
          <w:lang w:val="en-GB"/>
        </w:rPr>
        <w:tab/>
      </w:r>
      <w:r>
        <w:rPr>
          <w:sz w:val="24"/>
          <w:szCs w:val="24"/>
          <w:lang w:val="en-GB"/>
        </w:rPr>
        <w:tab/>
      </w:r>
      <w:r>
        <w:rPr>
          <w:sz w:val="24"/>
          <w:szCs w:val="24"/>
          <w:lang w:val="en-GB"/>
        </w:rPr>
        <w:tab/>
        <w:t>Western Region</w:t>
      </w:r>
    </w:p>
    <w:p w:rsidR="00EB1FCF" w:rsidRDefault="00EB1FCF" w:rsidP="00EB1FCF">
      <w:pPr>
        <w:spacing w:after="0" w:line="240" w:lineRule="auto"/>
        <w:jc w:val="both"/>
        <w:rPr>
          <w:sz w:val="24"/>
          <w:szCs w:val="24"/>
          <w:lang w:val="en-GB"/>
        </w:rPr>
      </w:pPr>
    </w:p>
    <w:p w:rsidR="00EB1FCF" w:rsidRDefault="00EB1FCF" w:rsidP="00EB1FCF">
      <w:pPr>
        <w:spacing w:after="0" w:line="240" w:lineRule="auto"/>
        <w:rPr>
          <w:sz w:val="24"/>
          <w:szCs w:val="24"/>
          <w:lang w:val="en-GB"/>
        </w:rPr>
      </w:pPr>
      <w:r>
        <w:rPr>
          <w:sz w:val="24"/>
          <w:szCs w:val="24"/>
          <w:lang w:val="en-GB"/>
        </w:rPr>
        <w:t xml:space="preserve">Out of the 87 districts, seven districts namely, Bongo (Upper East), </w:t>
      </w:r>
      <w:proofErr w:type="spellStart"/>
      <w:r>
        <w:rPr>
          <w:sz w:val="24"/>
          <w:szCs w:val="24"/>
          <w:lang w:val="en-GB"/>
        </w:rPr>
        <w:t>Garu</w:t>
      </w:r>
      <w:proofErr w:type="spellEnd"/>
      <w:r>
        <w:rPr>
          <w:sz w:val="24"/>
          <w:szCs w:val="24"/>
          <w:lang w:val="en-GB"/>
        </w:rPr>
        <w:t xml:space="preserve"> </w:t>
      </w:r>
      <w:proofErr w:type="spellStart"/>
      <w:r>
        <w:rPr>
          <w:sz w:val="24"/>
          <w:szCs w:val="24"/>
          <w:lang w:val="en-GB"/>
        </w:rPr>
        <w:t>Tempane</w:t>
      </w:r>
      <w:proofErr w:type="spellEnd"/>
      <w:r>
        <w:rPr>
          <w:sz w:val="24"/>
          <w:szCs w:val="24"/>
          <w:lang w:val="en-GB"/>
        </w:rPr>
        <w:t xml:space="preserve"> (Upper East), </w:t>
      </w:r>
      <w:proofErr w:type="spellStart"/>
      <w:r>
        <w:rPr>
          <w:sz w:val="24"/>
          <w:szCs w:val="24"/>
          <w:lang w:val="en-GB"/>
        </w:rPr>
        <w:t>Talensi</w:t>
      </w:r>
      <w:proofErr w:type="spellEnd"/>
      <w:r>
        <w:rPr>
          <w:sz w:val="24"/>
          <w:szCs w:val="24"/>
          <w:lang w:val="en-GB"/>
        </w:rPr>
        <w:t xml:space="preserve"> </w:t>
      </w:r>
      <w:proofErr w:type="spellStart"/>
      <w:r>
        <w:rPr>
          <w:sz w:val="24"/>
          <w:szCs w:val="24"/>
          <w:lang w:val="en-GB"/>
        </w:rPr>
        <w:t>Nabdam</w:t>
      </w:r>
      <w:proofErr w:type="spellEnd"/>
      <w:r>
        <w:rPr>
          <w:sz w:val="24"/>
          <w:szCs w:val="24"/>
          <w:lang w:val="en-GB"/>
        </w:rPr>
        <w:t xml:space="preserve"> (Upper East), </w:t>
      </w:r>
      <w:proofErr w:type="spellStart"/>
      <w:r>
        <w:rPr>
          <w:sz w:val="24"/>
          <w:szCs w:val="24"/>
          <w:lang w:val="en-GB"/>
        </w:rPr>
        <w:t>Nadawli</w:t>
      </w:r>
      <w:proofErr w:type="spellEnd"/>
      <w:r>
        <w:rPr>
          <w:sz w:val="24"/>
          <w:szCs w:val="24"/>
          <w:lang w:val="en-GB"/>
        </w:rPr>
        <w:t xml:space="preserve"> (Upper West), </w:t>
      </w:r>
      <w:proofErr w:type="spellStart"/>
      <w:r>
        <w:rPr>
          <w:sz w:val="24"/>
          <w:szCs w:val="24"/>
          <w:lang w:val="en-GB"/>
        </w:rPr>
        <w:t>Sissala</w:t>
      </w:r>
      <w:proofErr w:type="spellEnd"/>
      <w:r>
        <w:rPr>
          <w:sz w:val="24"/>
          <w:szCs w:val="24"/>
          <w:lang w:val="en-GB"/>
        </w:rPr>
        <w:t xml:space="preserve"> East (Upper West), </w:t>
      </w:r>
      <w:proofErr w:type="spellStart"/>
      <w:r>
        <w:rPr>
          <w:sz w:val="24"/>
          <w:szCs w:val="24"/>
          <w:lang w:val="en-GB"/>
        </w:rPr>
        <w:t>Ahanta</w:t>
      </w:r>
      <w:proofErr w:type="spellEnd"/>
      <w:r>
        <w:rPr>
          <w:sz w:val="24"/>
          <w:szCs w:val="24"/>
          <w:lang w:val="en-GB"/>
        </w:rPr>
        <w:t xml:space="preserve"> West </w:t>
      </w:r>
      <w:r>
        <w:rPr>
          <w:sz w:val="24"/>
          <w:szCs w:val="24"/>
          <w:lang w:val="en-GB"/>
        </w:rPr>
        <w:lastRenderedPageBreak/>
        <w:t xml:space="preserve">(Western), and </w:t>
      </w:r>
      <w:proofErr w:type="spellStart"/>
      <w:r>
        <w:rPr>
          <w:sz w:val="24"/>
          <w:szCs w:val="24"/>
          <w:lang w:val="en-GB"/>
        </w:rPr>
        <w:t>Sekondi</w:t>
      </w:r>
      <w:proofErr w:type="spellEnd"/>
      <w:r>
        <w:rPr>
          <w:sz w:val="24"/>
          <w:szCs w:val="24"/>
          <w:lang w:val="en-GB"/>
        </w:rPr>
        <w:t xml:space="preserve"> </w:t>
      </w:r>
      <w:proofErr w:type="spellStart"/>
      <w:r>
        <w:rPr>
          <w:sz w:val="24"/>
          <w:szCs w:val="24"/>
          <w:lang w:val="en-GB"/>
        </w:rPr>
        <w:t>Takoradi</w:t>
      </w:r>
      <w:proofErr w:type="spellEnd"/>
      <w:r>
        <w:rPr>
          <w:sz w:val="24"/>
          <w:szCs w:val="24"/>
          <w:lang w:val="en-GB"/>
        </w:rPr>
        <w:t xml:space="preserve"> (Western) had girls’ actual attendance higher than boys’ attendance.</w:t>
      </w:r>
    </w:p>
    <w:p w:rsidR="00EB1FCF" w:rsidRDefault="00EB1FCF" w:rsidP="00EB1FCF">
      <w:pPr>
        <w:spacing w:after="0" w:line="240" w:lineRule="auto"/>
        <w:rPr>
          <w:sz w:val="24"/>
          <w:szCs w:val="24"/>
          <w:lang w:val="en-GB"/>
        </w:rPr>
      </w:pPr>
    </w:p>
    <w:p w:rsidR="00EB1FCF" w:rsidRDefault="00EB1FCF" w:rsidP="00EB1FCF">
      <w:pPr>
        <w:spacing w:after="0" w:line="240" w:lineRule="auto"/>
        <w:rPr>
          <w:sz w:val="24"/>
          <w:szCs w:val="24"/>
          <w:lang w:val="en-GB"/>
        </w:rPr>
      </w:pPr>
      <w:r>
        <w:rPr>
          <w:sz w:val="24"/>
          <w:szCs w:val="24"/>
          <w:lang w:val="en-GB"/>
        </w:rPr>
        <w:t xml:space="preserve">In terms of </w:t>
      </w:r>
      <w:r w:rsidRPr="00404AC5">
        <w:rPr>
          <w:b/>
          <w:sz w:val="24"/>
          <w:szCs w:val="24"/>
          <w:lang w:val="en-GB"/>
        </w:rPr>
        <w:t>percentage</w:t>
      </w:r>
      <w:r>
        <w:rPr>
          <w:sz w:val="24"/>
          <w:szCs w:val="24"/>
          <w:lang w:val="en-GB"/>
        </w:rPr>
        <w:t xml:space="preserve"> school attendance in the Primary Schools, the best five districts were </w:t>
      </w:r>
    </w:p>
    <w:p w:rsidR="00EB1FCF" w:rsidRPr="00404AC5" w:rsidRDefault="00EB1FCF" w:rsidP="00EB1FCF">
      <w:pPr>
        <w:spacing w:after="0" w:line="240" w:lineRule="auto"/>
        <w:rPr>
          <w:color w:val="000000"/>
          <w:sz w:val="24"/>
          <w:szCs w:val="24"/>
        </w:rPr>
      </w:pPr>
      <w:proofErr w:type="spellStart"/>
      <w:proofErr w:type="gramStart"/>
      <w:r w:rsidRPr="00404AC5">
        <w:rPr>
          <w:color w:val="000000"/>
          <w:sz w:val="24"/>
          <w:szCs w:val="24"/>
          <w:lang w:val="en-GB"/>
        </w:rPr>
        <w:t>Kassena-Nankana</w:t>
      </w:r>
      <w:proofErr w:type="spellEnd"/>
      <w:r w:rsidRPr="00404AC5">
        <w:rPr>
          <w:color w:val="000000"/>
          <w:sz w:val="24"/>
          <w:szCs w:val="24"/>
          <w:lang w:val="en-GB"/>
        </w:rPr>
        <w:t xml:space="preserve"> East, </w:t>
      </w:r>
      <w:proofErr w:type="spellStart"/>
      <w:r w:rsidRPr="00404AC5">
        <w:rPr>
          <w:color w:val="000000"/>
          <w:sz w:val="24"/>
          <w:szCs w:val="24"/>
        </w:rPr>
        <w:t>Offinso</w:t>
      </w:r>
      <w:proofErr w:type="spellEnd"/>
      <w:r w:rsidRPr="00404AC5">
        <w:rPr>
          <w:color w:val="000000"/>
          <w:sz w:val="24"/>
          <w:szCs w:val="24"/>
        </w:rPr>
        <w:t xml:space="preserve"> Municipal</w:t>
      </w:r>
      <w:r>
        <w:rPr>
          <w:color w:val="000000"/>
          <w:sz w:val="24"/>
          <w:szCs w:val="24"/>
        </w:rPr>
        <w:t>,</w:t>
      </w:r>
      <w:r w:rsidRPr="00404AC5">
        <w:rPr>
          <w:color w:val="000000"/>
          <w:sz w:val="24"/>
          <w:szCs w:val="24"/>
        </w:rPr>
        <w:t xml:space="preserve"> Kumasi</w:t>
      </w:r>
      <w:r>
        <w:rPr>
          <w:color w:val="000000"/>
          <w:sz w:val="24"/>
          <w:szCs w:val="24"/>
        </w:rPr>
        <w:t xml:space="preserve">, </w:t>
      </w:r>
      <w:r w:rsidRPr="00404AC5">
        <w:rPr>
          <w:color w:val="000000"/>
          <w:sz w:val="24"/>
          <w:szCs w:val="24"/>
          <w:lang w:val="en-GB"/>
        </w:rPr>
        <w:t>Sekondi-Takoradi</w:t>
      </w:r>
      <w:r>
        <w:rPr>
          <w:color w:val="000000"/>
          <w:sz w:val="24"/>
          <w:szCs w:val="24"/>
          <w:lang w:val="en-GB"/>
        </w:rPr>
        <w:t xml:space="preserve"> and </w:t>
      </w:r>
      <w:proofErr w:type="spellStart"/>
      <w:r>
        <w:rPr>
          <w:color w:val="000000"/>
          <w:sz w:val="24"/>
          <w:szCs w:val="24"/>
          <w:lang w:val="en-GB"/>
        </w:rPr>
        <w:t>Agona</w:t>
      </w:r>
      <w:proofErr w:type="spellEnd"/>
      <w:r>
        <w:rPr>
          <w:color w:val="000000"/>
          <w:sz w:val="24"/>
          <w:szCs w:val="24"/>
          <w:lang w:val="en-GB"/>
        </w:rPr>
        <w:t xml:space="preserve"> West.</w:t>
      </w:r>
      <w:proofErr w:type="gramEnd"/>
      <w:r>
        <w:rPr>
          <w:color w:val="000000"/>
          <w:sz w:val="24"/>
          <w:szCs w:val="24"/>
          <w:lang w:val="en-GB"/>
        </w:rPr>
        <w:t xml:space="preserve"> </w:t>
      </w:r>
      <w:r w:rsidRPr="00404AC5">
        <w:rPr>
          <w:color w:val="000000"/>
          <w:sz w:val="24"/>
          <w:szCs w:val="24"/>
        </w:rPr>
        <w:t xml:space="preserve"> The worst five districts were </w:t>
      </w:r>
      <w:proofErr w:type="spellStart"/>
      <w:r w:rsidRPr="00404AC5">
        <w:rPr>
          <w:color w:val="000000"/>
          <w:sz w:val="24"/>
          <w:szCs w:val="24"/>
        </w:rPr>
        <w:t>Birim</w:t>
      </w:r>
      <w:proofErr w:type="spellEnd"/>
      <w:r w:rsidRPr="00404AC5">
        <w:rPr>
          <w:color w:val="000000"/>
          <w:sz w:val="24"/>
          <w:szCs w:val="24"/>
        </w:rPr>
        <w:t xml:space="preserve"> South, </w:t>
      </w:r>
      <w:proofErr w:type="spellStart"/>
      <w:r w:rsidRPr="00404AC5">
        <w:rPr>
          <w:color w:val="000000"/>
          <w:sz w:val="24"/>
          <w:szCs w:val="24"/>
          <w:lang w:val="en-GB"/>
        </w:rPr>
        <w:t>Lawra</w:t>
      </w:r>
      <w:proofErr w:type="spellEnd"/>
      <w:r w:rsidRPr="00404AC5">
        <w:rPr>
          <w:color w:val="000000"/>
          <w:sz w:val="24"/>
          <w:szCs w:val="24"/>
          <w:lang w:val="en-GB"/>
        </w:rPr>
        <w:t xml:space="preserve">, </w:t>
      </w:r>
      <w:proofErr w:type="spellStart"/>
      <w:r w:rsidRPr="00404AC5">
        <w:rPr>
          <w:color w:val="000000"/>
          <w:sz w:val="24"/>
          <w:szCs w:val="24"/>
        </w:rPr>
        <w:t>Techiman</w:t>
      </w:r>
      <w:proofErr w:type="spellEnd"/>
      <w:r w:rsidRPr="00404AC5">
        <w:rPr>
          <w:color w:val="000000"/>
          <w:sz w:val="24"/>
          <w:szCs w:val="24"/>
        </w:rPr>
        <w:t xml:space="preserve">, </w:t>
      </w:r>
      <w:proofErr w:type="spellStart"/>
      <w:r w:rsidRPr="00404AC5">
        <w:rPr>
          <w:color w:val="000000"/>
          <w:sz w:val="24"/>
          <w:szCs w:val="24"/>
        </w:rPr>
        <w:t>Kwaebibirem</w:t>
      </w:r>
      <w:proofErr w:type="spellEnd"/>
      <w:r w:rsidRPr="00404AC5">
        <w:rPr>
          <w:color w:val="000000"/>
          <w:sz w:val="24"/>
          <w:szCs w:val="24"/>
        </w:rPr>
        <w:t xml:space="preserve">, and </w:t>
      </w:r>
      <w:proofErr w:type="spellStart"/>
      <w:r w:rsidRPr="00404AC5">
        <w:rPr>
          <w:color w:val="000000"/>
          <w:sz w:val="24"/>
          <w:szCs w:val="24"/>
        </w:rPr>
        <w:t>Asuogyaman</w:t>
      </w:r>
      <w:proofErr w:type="spellEnd"/>
      <w:r w:rsidRPr="00404AC5">
        <w:rPr>
          <w:color w:val="000000"/>
          <w:sz w:val="24"/>
          <w:szCs w:val="24"/>
        </w:rPr>
        <w:t>.</w:t>
      </w:r>
    </w:p>
    <w:p w:rsidR="00EB1FCF" w:rsidRDefault="00EB1FCF" w:rsidP="00EB1FCF">
      <w:pPr>
        <w:spacing w:after="0" w:line="240" w:lineRule="auto"/>
        <w:rPr>
          <w:b/>
          <w:sz w:val="24"/>
          <w:szCs w:val="24"/>
          <w:lang w:val="en-GB"/>
        </w:rPr>
      </w:pPr>
    </w:p>
    <w:p w:rsidR="00EB1FCF" w:rsidRDefault="00EB1FCF" w:rsidP="00EB1FCF">
      <w:pPr>
        <w:spacing w:after="0" w:line="240" w:lineRule="auto"/>
        <w:rPr>
          <w:sz w:val="24"/>
          <w:szCs w:val="24"/>
          <w:lang w:val="en-GB"/>
        </w:rPr>
      </w:pPr>
      <w:r w:rsidRPr="00404AC5">
        <w:rPr>
          <w:sz w:val="24"/>
          <w:szCs w:val="24"/>
          <w:lang w:val="en-GB"/>
        </w:rPr>
        <w:t>For the Junior High Schools</w:t>
      </w:r>
      <w:r>
        <w:rPr>
          <w:b/>
          <w:sz w:val="24"/>
          <w:szCs w:val="24"/>
          <w:lang w:val="en-GB"/>
        </w:rPr>
        <w:t xml:space="preserve">, </w:t>
      </w:r>
      <w:r w:rsidRPr="00404AC5">
        <w:rPr>
          <w:sz w:val="24"/>
          <w:szCs w:val="24"/>
          <w:lang w:val="en-GB"/>
        </w:rPr>
        <w:t>in terms of</w:t>
      </w:r>
      <w:r>
        <w:rPr>
          <w:b/>
          <w:sz w:val="24"/>
          <w:szCs w:val="24"/>
          <w:lang w:val="en-GB"/>
        </w:rPr>
        <w:t xml:space="preserve"> percentage </w:t>
      </w:r>
      <w:r w:rsidRPr="00404AC5">
        <w:rPr>
          <w:sz w:val="24"/>
          <w:szCs w:val="24"/>
          <w:lang w:val="en-GB"/>
        </w:rPr>
        <w:t xml:space="preserve">school attendance, the best </w:t>
      </w:r>
      <w:r>
        <w:rPr>
          <w:sz w:val="24"/>
          <w:szCs w:val="24"/>
          <w:lang w:val="en-GB"/>
        </w:rPr>
        <w:t xml:space="preserve">five districts were </w:t>
      </w:r>
      <w:proofErr w:type="spellStart"/>
      <w:r w:rsidRPr="00FE1CAD">
        <w:rPr>
          <w:rFonts w:eastAsia="Times New Roman"/>
          <w:color w:val="000000"/>
          <w:sz w:val="24"/>
          <w:szCs w:val="24"/>
        </w:rPr>
        <w:t>Obuasi</w:t>
      </w:r>
      <w:proofErr w:type="spellEnd"/>
      <w:r w:rsidRPr="00FE1CAD">
        <w:rPr>
          <w:rFonts w:eastAsia="Times New Roman"/>
          <w:color w:val="000000"/>
          <w:sz w:val="24"/>
          <w:szCs w:val="24"/>
        </w:rPr>
        <w:t xml:space="preserve"> Municipal</w:t>
      </w:r>
      <w:r>
        <w:rPr>
          <w:rFonts w:eastAsia="Times New Roman"/>
          <w:color w:val="000000"/>
          <w:sz w:val="24"/>
          <w:szCs w:val="24"/>
        </w:rPr>
        <w:t xml:space="preserve">, </w:t>
      </w:r>
      <w:r w:rsidRPr="00FE1CAD">
        <w:rPr>
          <w:rFonts w:eastAsia="Times New Roman"/>
          <w:color w:val="000000"/>
          <w:sz w:val="24"/>
          <w:szCs w:val="24"/>
        </w:rPr>
        <w:t>Sekondi-Takoradi</w:t>
      </w:r>
      <w:r>
        <w:rPr>
          <w:rFonts w:eastAsia="Times New Roman"/>
          <w:color w:val="000000"/>
          <w:sz w:val="24"/>
          <w:szCs w:val="24"/>
        </w:rPr>
        <w:t xml:space="preserve">, </w:t>
      </w:r>
      <w:proofErr w:type="spellStart"/>
      <w:r w:rsidRPr="00FE1CAD">
        <w:rPr>
          <w:rFonts w:eastAsia="Times New Roman"/>
          <w:color w:val="000000"/>
          <w:sz w:val="24"/>
          <w:szCs w:val="24"/>
        </w:rPr>
        <w:t>Tema</w:t>
      </w:r>
      <w:proofErr w:type="spellEnd"/>
      <w:r>
        <w:rPr>
          <w:rFonts w:eastAsia="Times New Roman"/>
          <w:color w:val="000000"/>
          <w:sz w:val="24"/>
          <w:szCs w:val="24"/>
        </w:rPr>
        <w:t xml:space="preserve">, </w:t>
      </w:r>
      <w:r w:rsidRPr="00FE1CAD">
        <w:rPr>
          <w:rFonts w:eastAsia="Times New Roman"/>
          <w:color w:val="000000"/>
          <w:sz w:val="24"/>
          <w:szCs w:val="24"/>
        </w:rPr>
        <w:t>Kumasi</w:t>
      </w:r>
      <w:r>
        <w:rPr>
          <w:rFonts w:eastAsia="Times New Roman"/>
          <w:color w:val="000000"/>
          <w:sz w:val="24"/>
          <w:szCs w:val="24"/>
        </w:rPr>
        <w:t xml:space="preserve">, and </w:t>
      </w:r>
      <w:r w:rsidRPr="00FE1CAD">
        <w:rPr>
          <w:rFonts w:eastAsia="Times New Roman"/>
          <w:color w:val="000000"/>
          <w:sz w:val="24"/>
          <w:szCs w:val="24"/>
        </w:rPr>
        <w:t>Cape Coast</w:t>
      </w:r>
      <w:r>
        <w:rPr>
          <w:rFonts w:eastAsia="Times New Roman"/>
          <w:color w:val="000000"/>
          <w:sz w:val="24"/>
          <w:szCs w:val="24"/>
        </w:rPr>
        <w:t xml:space="preserve">.  The worst five districts were </w:t>
      </w:r>
      <w:proofErr w:type="spellStart"/>
      <w:r w:rsidRPr="00FE1CAD">
        <w:rPr>
          <w:rFonts w:eastAsia="Times New Roman"/>
          <w:color w:val="000000"/>
          <w:sz w:val="24"/>
          <w:szCs w:val="24"/>
        </w:rPr>
        <w:t>Ahanta</w:t>
      </w:r>
      <w:proofErr w:type="spellEnd"/>
      <w:r w:rsidRPr="00FE1CAD">
        <w:rPr>
          <w:rFonts w:eastAsia="Times New Roman"/>
          <w:color w:val="000000"/>
          <w:sz w:val="24"/>
          <w:szCs w:val="24"/>
        </w:rPr>
        <w:t xml:space="preserve"> West</w:t>
      </w:r>
      <w:r>
        <w:rPr>
          <w:rFonts w:eastAsia="Times New Roman"/>
          <w:color w:val="000000"/>
          <w:sz w:val="24"/>
          <w:szCs w:val="24"/>
        </w:rPr>
        <w:t xml:space="preserve">, </w:t>
      </w:r>
      <w:proofErr w:type="spellStart"/>
      <w:r w:rsidRPr="00FE1CAD">
        <w:rPr>
          <w:rFonts w:eastAsia="Times New Roman"/>
          <w:color w:val="000000"/>
          <w:sz w:val="24"/>
          <w:szCs w:val="24"/>
        </w:rPr>
        <w:t>Assin</w:t>
      </w:r>
      <w:proofErr w:type="spellEnd"/>
      <w:r w:rsidRPr="00FE1CAD">
        <w:rPr>
          <w:rFonts w:eastAsia="Times New Roman"/>
          <w:color w:val="000000"/>
          <w:sz w:val="24"/>
          <w:szCs w:val="24"/>
        </w:rPr>
        <w:t xml:space="preserve"> North</w:t>
      </w:r>
      <w:r>
        <w:rPr>
          <w:rFonts w:eastAsia="Times New Roman"/>
          <w:color w:val="000000"/>
          <w:sz w:val="24"/>
          <w:szCs w:val="24"/>
        </w:rPr>
        <w:t xml:space="preserve">, </w:t>
      </w:r>
      <w:proofErr w:type="spellStart"/>
      <w:r w:rsidRPr="00FE1CAD">
        <w:rPr>
          <w:rFonts w:eastAsia="Times New Roman"/>
          <w:color w:val="000000"/>
          <w:sz w:val="24"/>
          <w:szCs w:val="24"/>
        </w:rPr>
        <w:t>Talensi-Nabdam</w:t>
      </w:r>
      <w:proofErr w:type="spellEnd"/>
      <w:r>
        <w:rPr>
          <w:rFonts w:eastAsia="Times New Roman"/>
          <w:color w:val="000000"/>
          <w:sz w:val="24"/>
          <w:szCs w:val="24"/>
        </w:rPr>
        <w:t xml:space="preserve">, </w:t>
      </w:r>
      <w:proofErr w:type="spellStart"/>
      <w:r w:rsidRPr="00FE1CAD">
        <w:rPr>
          <w:rFonts w:eastAsia="Times New Roman"/>
          <w:color w:val="000000"/>
          <w:sz w:val="24"/>
          <w:szCs w:val="24"/>
        </w:rPr>
        <w:t>Lawra</w:t>
      </w:r>
      <w:proofErr w:type="spellEnd"/>
      <w:r>
        <w:rPr>
          <w:rFonts w:eastAsia="Times New Roman"/>
          <w:color w:val="000000"/>
          <w:sz w:val="24"/>
          <w:szCs w:val="24"/>
        </w:rPr>
        <w:t xml:space="preserve">, and </w:t>
      </w:r>
      <w:proofErr w:type="spellStart"/>
      <w:r>
        <w:rPr>
          <w:rFonts w:eastAsia="Times New Roman"/>
          <w:color w:val="000000"/>
          <w:sz w:val="24"/>
          <w:szCs w:val="24"/>
        </w:rPr>
        <w:t>Fanteakwa</w:t>
      </w:r>
      <w:proofErr w:type="spellEnd"/>
      <w:r>
        <w:rPr>
          <w:rFonts w:eastAsia="Times New Roman"/>
          <w:color w:val="000000"/>
          <w:sz w:val="24"/>
          <w:szCs w:val="24"/>
        </w:rPr>
        <w:t>.</w:t>
      </w:r>
    </w:p>
    <w:p w:rsidR="00EB1FCF" w:rsidRDefault="00EB1FCF" w:rsidP="00EB1FCF">
      <w:pPr>
        <w:spacing w:after="0" w:line="240" w:lineRule="auto"/>
        <w:rPr>
          <w:sz w:val="24"/>
          <w:szCs w:val="24"/>
          <w:lang w:val="en-GB"/>
        </w:rPr>
      </w:pPr>
    </w:p>
    <w:p w:rsidR="00EB1FCF" w:rsidRDefault="00EB1FCF" w:rsidP="00EB1FCF">
      <w:pPr>
        <w:spacing w:after="0" w:line="240" w:lineRule="auto"/>
        <w:rPr>
          <w:sz w:val="24"/>
          <w:szCs w:val="24"/>
          <w:lang w:val="en-GB"/>
        </w:rPr>
      </w:pPr>
      <w:r>
        <w:rPr>
          <w:sz w:val="24"/>
          <w:szCs w:val="24"/>
          <w:lang w:val="en-GB"/>
        </w:rPr>
        <w:t xml:space="preserve">It is recommended that studies be carried out to identify the factors that have led to the declining and low school attendance.  </w:t>
      </w:r>
    </w:p>
    <w:p w:rsidR="00A2585B" w:rsidRDefault="00A2585B">
      <w:bookmarkStart w:id="0" w:name="_GoBack"/>
      <w:bookmarkEnd w:id="0"/>
    </w:p>
    <w:sectPr w:rsidR="00A2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112"/>
    <w:multiLevelType w:val="hybridMultilevel"/>
    <w:tmpl w:val="CF9E8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76706"/>
    <w:multiLevelType w:val="hybridMultilevel"/>
    <w:tmpl w:val="2A1E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F"/>
    <w:rsid w:val="00A12A4A"/>
    <w:rsid w:val="00A2585B"/>
    <w:rsid w:val="00EB1FCF"/>
    <w:rsid w:val="00F9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Constancia_Quinne</dc:creator>
  <cp:lastModifiedBy>Constancia_Quinne</cp:lastModifiedBy>
  <cp:revision>1</cp:revision>
  <dcterms:created xsi:type="dcterms:W3CDTF">2016-07-28T16:57:00Z</dcterms:created>
  <dcterms:modified xsi:type="dcterms:W3CDTF">2016-07-28T16:58:00Z</dcterms:modified>
</cp:coreProperties>
</file>